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C00" w:rsidRPr="000A3734" w:rsidRDefault="00023C00" w:rsidP="00023C00">
      <w:pPr>
        <w:jc w:val="center"/>
        <w:rPr>
          <w:rFonts w:ascii="Proxima Nova Lt" w:hAnsi="Proxima Nova Lt" w:cstheme="majorHAnsi"/>
          <w:b/>
          <w:bCs/>
          <w:sz w:val="28"/>
          <w:lang w:val="pt-BR"/>
        </w:rPr>
      </w:pPr>
      <w:r w:rsidRPr="000A3734">
        <w:rPr>
          <w:rFonts w:ascii="Proxima Nova Lt" w:hAnsi="Proxima Nova Lt" w:cstheme="majorHAnsi"/>
          <w:b/>
          <w:bCs/>
          <w:sz w:val="28"/>
          <w:lang w:val="pt-BR"/>
        </w:rPr>
        <w:t>Anexo 3.</w:t>
      </w:r>
    </w:p>
    <w:p w:rsidR="00023C00" w:rsidRPr="004144AF" w:rsidRDefault="00023C00" w:rsidP="004144AF">
      <w:pPr>
        <w:spacing w:after="0"/>
        <w:jc w:val="center"/>
        <w:rPr>
          <w:rFonts w:ascii="Proxima Nova Lt" w:hAnsi="Proxima Nova Lt" w:cstheme="majorHAnsi"/>
          <w:b/>
          <w:bCs/>
          <w:sz w:val="24"/>
          <w:lang w:val="es-ES"/>
        </w:rPr>
      </w:pPr>
      <w:r w:rsidRPr="004144AF">
        <w:rPr>
          <w:rFonts w:ascii="Proxima Nova Lt" w:hAnsi="Proxima Nova Lt" w:cstheme="majorHAnsi"/>
          <w:b/>
          <w:bCs/>
          <w:sz w:val="24"/>
          <w:lang w:val="es-ES"/>
        </w:rPr>
        <w:t>FORMATO PARA PRONUNCIAMIENTO</w:t>
      </w:r>
    </w:p>
    <w:p w:rsidR="00023C00" w:rsidRPr="004144AF" w:rsidRDefault="00023C00" w:rsidP="004144AF">
      <w:pPr>
        <w:spacing w:after="0"/>
        <w:jc w:val="center"/>
        <w:rPr>
          <w:rFonts w:ascii="Proxima Nova Lt" w:hAnsi="Proxima Nova Lt" w:cstheme="majorHAnsi"/>
          <w:b/>
          <w:bCs/>
          <w:sz w:val="24"/>
          <w:lang w:val="es-ES"/>
        </w:rPr>
      </w:pPr>
      <w:r w:rsidRPr="004144AF">
        <w:rPr>
          <w:rFonts w:ascii="Proxima Nova Lt" w:hAnsi="Proxima Nova Lt" w:cstheme="majorHAnsi"/>
          <w:b/>
          <w:bCs/>
          <w:sz w:val="24"/>
          <w:lang w:val="es-ES"/>
        </w:rPr>
        <w:t xml:space="preserve">“CERO TOLERANCIA </w:t>
      </w:r>
      <w:r w:rsidRPr="004144AF">
        <w:rPr>
          <w:rFonts w:ascii="Proxima Nova Lt" w:hAnsi="Proxima Nova Lt" w:cstheme="majorHAnsi"/>
          <w:b/>
          <w:bCs/>
          <w:sz w:val="24"/>
        </w:rPr>
        <w:t>AL HOSTIGAMIENTO SEXUAL Y ACOSO SEXUAL”</w:t>
      </w:r>
    </w:p>
    <w:p w:rsidR="00023C00" w:rsidRPr="004144AF" w:rsidRDefault="00023C00" w:rsidP="004144AF">
      <w:pPr>
        <w:spacing w:after="0" w:line="276" w:lineRule="auto"/>
        <w:jc w:val="both"/>
        <w:rPr>
          <w:rFonts w:ascii="Proxima Nova Lt" w:hAnsi="Proxima Nova Lt" w:cstheme="majorHAnsi"/>
          <w:sz w:val="24"/>
          <w:szCs w:val="24"/>
        </w:rPr>
      </w:pPr>
    </w:p>
    <w:p w:rsidR="00023C00" w:rsidRPr="000A3734" w:rsidRDefault="00023C00" w:rsidP="00023C00">
      <w:pPr>
        <w:spacing w:after="0" w:line="276" w:lineRule="auto"/>
        <w:jc w:val="both"/>
        <w:rPr>
          <w:rFonts w:ascii="Proxima Nova Lt" w:hAnsi="Proxima Nova Lt" w:cstheme="majorHAnsi"/>
          <w:sz w:val="24"/>
          <w:szCs w:val="24"/>
        </w:rPr>
      </w:pPr>
      <w:r w:rsidRPr="000A3734">
        <w:rPr>
          <w:rFonts w:ascii="Proxima Nova Lt" w:hAnsi="Proxima Nova Lt" w:cstheme="majorHAnsi"/>
          <w:sz w:val="24"/>
          <w:szCs w:val="24"/>
        </w:rPr>
        <w:t xml:space="preserve">El escrito deberá contener: </w:t>
      </w:r>
    </w:p>
    <w:p w:rsidR="00023C00" w:rsidRPr="000A3734" w:rsidRDefault="00023C00" w:rsidP="00023C00">
      <w:pPr>
        <w:spacing w:after="0" w:line="276" w:lineRule="auto"/>
        <w:jc w:val="both"/>
        <w:rPr>
          <w:rFonts w:ascii="Proxima Nova Lt" w:hAnsi="Proxima Nova Lt" w:cstheme="majorHAnsi"/>
          <w:sz w:val="24"/>
          <w:szCs w:val="24"/>
        </w:rPr>
      </w:pPr>
    </w:p>
    <w:p w:rsidR="00023C00" w:rsidRPr="000A3734" w:rsidRDefault="00023C00" w:rsidP="00023C00">
      <w:pPr>
        <w:pStyle w:val="Prrafodelista"/>
        <w:numPr>
          <w:ilvl w:val="0"/>
          <w:numId w:val="1"/>
        </w:numPr>
        <w:spacing w:after="0" w:line="276" w:lineRule="auto"/>
        <w:ind w:left="567" w:hanging="283"/>
        <w:rPr>
          <w:rFonts w:ascii="Proxima Nova Lt" w:hAnsi="Proxima Nova Lt" w:cstheme="majorHAnsi"/>
          <w:b/>
          <w:sz w:val="24"/>
          <w:szCs w:val="24"/>
        </w:rPr>
      </w:pPr>
      <w:r w:rsidRPr="000A3734">
        <w:rPr>
          <w:rFonts w:ascii="Proxima Nova Lt" w:hAnsi="Proxima Nova Lt" w:cstheme="majorHAnsi"/>
          <w:b/>
          <w:sz w:val="24"/>
          <w:szCs w:val="24"/>
        </w:rPr>
        <w:t>Nombre de la dependencia o entidad y logos institucionales;</w:t>
      </w:r>
    </w:p>
    <w:p w:rsidR="00023C00" w:rsidRPr="000A3734" w:rsidRDefault="00023C00" w:rsidP="00023C00">
      <w:pPr>
        <w:pStyle w:val="Prrafodelista"/>
        <w:spacing w:after="0" w:line="276" w:lineRule="auto"/>
        <w:ind w:left="567"/>
        <w:rPr>
          <w:rFonts w:ascii="Proxima Nova Lt" w:hAnsi="Proxima Nova Lt" w:cstheme="majorHAnsi"/>
          <w:b/>
          <w:sz w:val="24"/>
          <w:szCs w:val="24"/>
        </w:rPr>
      </w:pPr>
    </w:p>
    <w:p w:rsidR="00023C00" w:rsidRPr="000A3734" w:rsidRDefault="00023C00" w:rsidP="00023C00">
      <w:pPr>
        <w:pStyle w:val="Prrafodelista"/>
        <w:numPr>
          <w:ilvl w:val="0"/>
          <w:numId w:val="1"/>
        </w:numPr>
        <w:spacing w:after="0" w:line="276" w:lineRule="auto"/>
        <w:ind w:left="567" w:hanging="283"/>
        <w:rPr>
          <w:rFonts w:ascii="Proxima Nova Lt" w:hAnsi="Proxima Nova Lt" w:cstheme="majorHAnsi"/>
          <w:b/>
          <w:sz w:val="24"/>
          <w:szCs w:val="24"/>
        </w:rPr>
      </w:pPr>
      <w:r w:rsidRPr="000A3734">
        <w:rPr>
          <w:rFonts w:ascii="Proxima Nova Lt" w:hAnsi="Proxima Nova Lt" w:cstheme="majorHAnsi"/>
          <w:b/>
          <w:sz w:val="24"/>
          <w:szCs w:val="24"/>
        </w:rPr>
        <w:t>Fundamento jurídico;</w:t>
      </w:r>
      <w:bookmarkStart w:id="0" w:name="_GoBack"/>
      <w:bookmarkEnd w:id="0"/>
    </w:p>
    <w:p w:rsidR="00023C00" w:rsidRPr="000A3734" w:rsidRDefault="00023C00" w:rsidP="00023C00">
      <w:pPr>
        <w:pStyle w:val="Prrafodelista"/>
        <w:spacing w:after="0" w:line="276" w:lineRule="auto"/>
        <w:ind w:left="567"/>
        <w:rPr>
          <w:rFonts w:ascii="Proxima Nova Lt" w:hAnsi="Proxima Nova Lt" w:cstheme="majorHAnsi"/>
          <w:b/>
          <w:sz w:val="24"/>
          <w:szCs w:val="24"/>
        </w:rPr>
      </w:pPr>
    </w:p>
    <w:p w:rsidR="00023C00" w:rsidRPr="000A3734" w:rsidRDefault="00023C00" w:rsidP="00023C00">
      <w:pPr>
        <w:pStyle w:val="Prrafodelista"/>
        <w:numPr>
          <w:ilvl w:val="0"/>
          <w:numId w:val="1"/>
        </w:numPr>
        <w:spacing w:after="0" w:line="276" w:lineRule="auto"/>
        <w:ind w:left="567" w:hanging="283"/>
        <w:rPr>
          <w:rFonts w:ascii="Proxima Nova Lt" w:hAnsi="Proxima Nova Lt" w:cstheme="majorHAnsi"/>
          <w:b/>
          <w:sz w:val="24"/>
          <w:szCs w:val="24"/>
        </w:rPr>
      </w:pPr>
      <w:r w:rsidRPr="000A3734">
        <w:rPr>
          <w:rFonts w:ascii="Proxima Nova Lt" w:hAnsi="Proxima Nova Lt" w:cstheme="majorHAnsi"/>
          <w:b/>
          <w:sz w:val="24"/>
          <w:szCs w:val="24"/>
        </w:rPr>
        <w:t>Considerandos; y</w:t>
      </w:r>
    </w:p>
    <w:p w:rsidR="00023C00" w:rsidRPr="000A3734" w:rsidRDefault="00023C00" w:rsidP="00023C00">
      <w:pPr>
        <w:spacing w:after="0" w:line="276" w:lineRule="auto"/>
        <w:rPr>
          <w:rFonts w:ascii="Proxima Nova Lt" w:hAnsi="Proxima Nova Lt" w:cstheme="majorHAnsi"/>
          <w:b/>
          <w:sz w:val="24"/>
          <w:szCs w:val="24"/>
        </w:rPr>
      </w:pPr>
    </w:p>
    <w:p w:rsidR="00023C00" w:rsidRPr="000A3734" w:rsidRDefault="00023C00" w:rsidP="00023C00">
      <w:pPr>
        <w:pStyle w:val="Prrafodelista"/>
        <w:numPr>
          <w:ilvl w:val="0"/>
          <w:numId w:val="1"/>
        </w:numPr>
        <w:spacing w:after="0" w:line="276" w:lineRule="auto"/>
        <w:ind w:left="567" w:hanging="283"/>
        <w:rPr>
          <w:rFonts w:ascii="Proxima Nova Lt" w:hAnsi="Proxima Nova Lt" w:cstheme="majorHAnsi"/>
          <w:b/>
          <w:sz w:val="24"/>
          <w:szCs w:val="24"/>
        </w:rPr>
      </w:pPr>
      <w:r w:rsidRPr="000A3734">
        <w:rPr>
          <w:rFonts w:ascii="Proxima Nova Lt" w:hAnsi="Proxima Nova Lt" w:cstheme="majorHAnsi"/>
          <w:b/>
          <w:sz w:val="24"/>
          <w:szCs w:val="24"/>
        </w:rPr>
        <w:t>Pronunciamiento con los siguientes elementos mínimos:</w:t>
      </w:r>
    </w:p>
    <w:p w:rsidR="00023C00" w:rsidRPr="000A3734" w:rsidRDefault="00023C00" w:rsidP="00023C00">
      <w:pPr>
        <w:pStyle w:val="Prrafodelista"/>
        <w:spacing w:after="0" w:line="276" w:lineRule="auto"/>
        <w:ind w:left="567"/>
        <w:rPr>
          <w:rFonts w:ascii="Proxima Nova Lt" w:hAnsi="Proxima Nova Lt" w:cstheme="majorHAnsi"/>
          <w:b/>
          <w:sz w:val="24"/>
          <w:szCs w:val="24"/>
        </w:rPr>
      </w:pPr>
    </w:p>
    <w:p w:rsidR="00023C00" w:rsidRPr="000A3734" w:rsidRDefault="00023C00" w:rsidP="00023C00">
      <w:pPr>
        <w:pStyle w:val="Prrafodelista"/>
        <w:numPr>
          <w:ilvl w:val="0"/>
          <w:numId w:val="2"/>
        </w:numPr>
        <w:spacing w:after="0" w:line="276" w:lineRule="auto"/>
        <w:ind w:left="851" w:hanging="284"/>
        <w:jc w:val="both"/>
        <w:rPr>
          <w:rFonts w:ascii="Proxima Nova Lt" w:hAnsi="Proxima Nova Lt" w:cstheme="majorHAnsi"/>
          <w:sz w:val="24"/>
          <w:szCs w:val="24"/>
        </w:rPr>
      </w:pPr>
      <w:r w:rsidRPr="000A3734">
        <w:rPr>
          <w:rFonts w:ascii="Proxima Nova Lt" w:hAnsi="Proxima Nova Lt" w:cstheme="majorHAnsi"/>
          <w:sz w:val="24"/>
          <w:szCs w:val="24"/>
        </w:rPr>
        <w:t>Expresar el compromiso de “Cero Tolerancia” frente a conductas de hostigamiento sexual y acoso sexual y cualquier forma de violencia contra las mujeres, así como los tipos de sanciones a los que puede haber lugar por estas conductas;</w:t>
      </w:r>
    </w:p>
    <w:p w:rsidR="00023C00" w:rsidRPr="000A3734" w:rsidRDefault="00023C00" w:rsidP="00023C00">
      <w:pPr>
        <w:pStyle w:val="Prrafodelista"/>
        <w:numPr>
          <w:ilvl w:val="0"/>
          <w:numId w:val="2"/>
        </w:numPr>
        <w:spacing w:after="0" w:line="276" w:lineRule="auto"/>
        <w:ind w:left="851" w:hanging="284"/>
        <w:jc w:val="both"/>
        <w:rPr>
          <w:rFonts w:ascii="Proxima Nova Lt" w:hAnsi="Proxima Nova Lt" w:cstheme="majorHAnsi"/>
          <w:sz w:val="24"/>
          <w:szCs w:val="24"/>
        </w:rPr>
      </w:pPr>
      <w:r w:rsidRPr="000A3734">
        <w:rPr>
          <w:rFonts w:ascii="Proxima Nova Lt" w:hAnsi="Proxima Nova Lt" w:cstheme="majorHAnsi"/>
          <w:sz w:val="24"/>
          <w:szCs w:val="24"/>
        </w:rPr>
        <w:t>Reafirmar el compromiso para erradicar las conductas de hostigamiento sexual y acoso sexual;</w:t>
      </w:r>
    </w:p>
    <w:p w:rsidR="00023C00" w:rsidRPr="000A3734" w:rsidRDefault="00023C00" w:rsidP="00023C00">
      <w:pPr>
        <w:pStyle w:val="Prrafodelista"/>
        <w:numPr>
          <w:ilvl w:val="0"/>
          <w:numId w:val="2"/>
        </w:numPr>
        <w:spacing w:after="0" w:line="276" w:lineRule="auto"/>
        <w:ind w:left="851" w:hanging="284"/>
        <w:jc w:val="both"/>
        <w:rPr>
          <w:rFonts w:ascii="Proxima Nova Lt" w:hAnsi="Proxima Nova Lt" w:cstheme="majorHAnsi"/>
          <w:sz w:val="24"/>
          <w:szCs w:val="24"/>
        </w:rPr>
      </w:pPr>
      <w:r w:rsidRPr="000A3734">
        <w:rPr>
          <w:rFonts w:ascii="Proxima Nova Lt" w:hAnsi="Proxima Nova Lt" w:cstheme="majorHAnsi"/>
          <w:sz w:val="24"/>
          <w:szCs w:val="24"/>
        </w:rPr>
        <w:t>Definir el hostigamiento sexual y acoso sexual de conformidad con lo establecido en la Ley General de Acceso de las Mujeres a una vida Libre de Violencia y la Ley de Acceso para las Mujeres a una vida Libre de Violencia para el Estado de Coahuila de Zaragoza;</w:t>
      </w:r>
    </w:p>
    <w:p w:rsidR="00023C00" w:rsidRPr="000A3734" w:rsidRDefault="00023C00" w:rsidP="00023C00">
      <w:pPr>
        <w:pStyle w:val="Prrafodelista"/>
        <w:numPr>
          <w:ilvl w:val="0"/>
          <w:numId w:val="2"/>
        </w:numPr>
        <w:spacing w:after="0" w:line="276" w:lineRule="auto"/>
        <w:ind w:left="851" w:hanging="284"/>
        <w:jc w:val="both"/>
        <w:rPr>
          <w:rFonts w:ascii="Proxima Nova Lt" w:hAnsi="Proxima Nova Lt" w:cstheme="majorHAnsi"/>
          <w:sz w:val="24"/>
          <w:szCs w:val="24"/>
        </w:rPr>
      </w:pPr>
      <w:r w:rsidRPr="000A3734">
        <w:rPr>
          <w:rFonts w:ascii="Proxima Nova Lt" w:hAnsi="Proxima Nova Lt" w:cstheme="majorHAnsi"/>
          <w:sz w:val="24"/>
          <w:szCs w:val="24"/>
        </w:rPr>
        <w:t>Expresar, de forma enunciativa más no limitativa, las conductas que vulneran la Regla Actuación Publica de las Reglas de Integridad para el Ejercicio de la Función Pública Estatal;</w:t>
      </w:r>
    </w:p>
    <w:p w:rsidR="00023C00" w:rsidRPr="000A3734" w:rsidRDefault="00023C00" w:rsidP="00023C00">
      <w:pPr>
        <w:pStyle w:val="Prrafodelista"/>
        <w:numPr>
          <w:ilvl w:val="0"/>
          <w:numId w:val="2"/>
        </w:numPr>
        <w:spacing w:after="0" w:line="276" w:lineRule="auto"/>
        <w:ind w:left="851" w:hanging="284"/>
        <w:jc w:val="both"/>
        <w:rPr>
          <w:rFonts w:ascii="Proxima Nova Lt" w:hAnsi="Proxima Nova Lt" w:cstheme="majorHAnsi"/>
          <w:sz w:val="24"/>
          <w:szCs w:val="24"/>
        </w:rPr>
      </w:pPr>
      <w:r w:rsidRPr="000A3734">
        <w:rPr>
          <w:rFonts w:ascii="Proxima Nova Lt" w:hAnsi="Proxima Nova Lt" w:cstheme="majorHAnsi"/>
          <w:sz w:val="24"/>
          <w:szCs w:val="24"/>
        </w:rPr>
        <w:t>El pronunciamiento debe expresar que la prohibición de estas conductas incluye al personal, público usuario y personal sin nombramiento, como personas prestadoras de servicio social, personal de honorarios y personas subcontratadas, entre otras; Proporcionar información sobre los mecanismos de denuncia y atención;</w:t>
      </w:r>
    </w:p>
    <w:p w:rsidR="00023C00" w:rsidRPr="000A3734" w:rsidRDefault="00023C00" w:rsidP="00023C00">
      <w:pPr>
        <w:pStyle w:val="Prrafodelista"/>
        <w:numPr>
          <w:ilvl w:val="0"/>
          <w:numId w:val="2"/>
        </w:numPr>
        <w:spacing w:after="0" w:line="276" w:lineRule="auto"/>
        <w:ind w:left="851" w:hanging="284"/>
        <w:jc w:val="both"/>
        <w:rPr>
          <w:rFonts w:ascii="Proxima Nova Lt" w:hAnsi="Proxima Nova Lt" w:cstheme="majorHAnsi"/>
          <w:sz w:val="24"/>
          <w:szCs w:val="24"/>
        </w:rPr>
      </w:pPr>
      <w:r w:rsidRPr="000A3734">
        <w:rPr>
          <w:rFonts w:ascii="Proxima Nova Lt" w:hAnsi="Proxima Nova Lt" w:cstheme="majorHAnsi"/>
          <w:sz w:val="24"/>
          <w:szCs w:val="24"/>
        </w:rPr>
        <w:t xml:space="preserve">Fijar el compromiso de interpretar y aplicar el Protocolo para la prevención, atención y sanción del hostigamiento sexual y acoso sexual, con pleno respeto de los derechos humanos y bajo los principios establecidos el numeral 4 de este Protocolo; </w:t>
      </w:r>
    </w:p>
    <w:p w:rsidR="00023C00" w:rsidRPr="000A3734" w:rsidRDefault="00023C00" w:rsidP="00023C00">
      <w:pPr>
        <w:pStyle w:val="Prrafodelista"/>
        <w:numPr>
          <w:ilvl w:val="0"/>
          <w:numId w:val="2"/>
        </w:numPr>
        <w:spacing w:after="0" w:line="276" w:lineRule="auto"/>
        <w:ind w:left="851" w:hanging="284"/>
        <w:jc w:val="both"/>
        <w:rPr>
          <w:rFonts w:ascii="Proxima Nova Lt" w:hAnsi="Proxima Nova Lt" w:cstheme="majorHAnsi"/>
          <w:sz w:val="24"/>
          <w:szCs w:val="24"/>
        </w:rPr>
      </w:pPr>
      <w:r w:rsidRPr="000A3734">
        <w:rPr>
          <w:rFonts w:ascii="Proxima Nova Lt" w:hAnsi="Proxima Nova Lt" w:cstheme="majorHAnsi"/>
          <w:sz w:val="24"/>
          <w:szCs w:val="24"/>
        </w:rPr>
        <w:t>Los compromisos particulares de la dependencia o entidad para erradicar las conductas de hostigamiento sexual y acoso sexual;</w:t>
      </w:r>
    </w:p>
    <w:p w:rsidR="00023C00" w:rsidRPr="000A3734" w:rsidRDefault="00023C00" w:rsidP="00023C00">
      <w:pPr>
        <w:pStyle w:val="Prrafodelista"/>
        <w:numPr>
          <w:ilvl w:val="0"/>
          <w:numId w:val="2"/>
        </w:numPr>
        <w:spacing w:after="0" w:line="276" w:lineRule="auto"/>
        <w:ind w:left="851" w:hanging="284"/>
        <w:jc w:val="both"/>
        <w:rPr>
          <w:rFonts w:ascii="Proxima Nova Lt" w:hAnsi="Proxima Nova Lt" w:cstheme="majorHAnsi"/>
          <w:sz w:val="24"/>
          <w:szCs w:val="24"/>
        </w:rPr>
      </w:pPr>
      <w:r w:rsidRPr="000A3734">
        <w:rPr>
          <w:rFonts w:ascii="Proxima Nova Lt" w:hAnsi="Proxima Nova Lt" w:cstheme="majorHAnsi"/>
          <w:sz w:val="24"/>
          <w:szCs w:val="24"/>
        </w:rPr>
        <w:t>La firma de la persona titular de la dependencia o entidad; y</w:t>
      </w:r>
    </w:p>
    <w:p w:rsidR="001A3144" w:rsidRPr="00023C00" w:rsidRDefault="00023C00" w:rsidP="00023C00">
      <w:pPr>
        <w:pStyle w:val="Prrafodelista"/>
        <w:numPr>
          <w:ilvl w:val="0"/>
          <w:numId w:val="2"/>
        </w:numPr>
        <w:spacing w:after="0" w:line="276" w:lineRule="auto"/>
        <w:ind w:left="851" w:hanging="284"/>
        <w:jc w:val="both"/>
        <w:rPr>
          <w:rFonts w:ascii="Proxima Nova Lt" w:hAnsi="Proxima Nova Lt" w:cstheme="majorHAnsi"/>
          <w:sz w:val="24"/>
          <w:szCs w:val="24"/>
        </w:rPr>
      </w:pPr>
      <w:r w:rsidRPr="000A3734">
        <w:rPr>
          <w:rFonts w:ascii="Proxima Nova Lt" w:hAnsi="Proxima Nova Lt" w:cstheme="majorHAnsi"/>
          <w:sz w:val="24"/>
          <w:szCs w:val="24"/>
        </w:rPr>
        <w:t>Lugar y fecha de emisión.</w:t>
      </w:r>
    </w:p>
    <w:sectPr w:rsidR="001A3144" w:rsidRPr="00023C00" w:rsidSect="00023C00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xima Nova Lt">
    <w:panose1 w:val="02000506030000020004"/>
    <w:charset w:val="00"/>
    <w:family w:val="auto"/>
    <w:pitch w:val="variable"/>
    <w:sig w:usb0="A00002EF" w:usb1="5000E0F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72C88"/>
    <w:multiLevelType w:val="hybridMultilevel"/>
    <w:tmpl w:val="DC8A4D76"/>
    <w:lvl w:ilvl="0" w:tplc="21D2ED32">
      <w:start w:val="1"/>
      <w:numFmt w:val="decimal"/>
      <w:lvlText w:val="%1."/>
      <w:lvlJc w:val="left"/>
      <w:pPr>
        <w:ind w:left="1571" w:hanging="360"/>
      </w:pPr>
      <w:rPr>
        <w:b/>
        <w:color w:val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2291" w:hanging="360"/>
      </w:pPr>
    </w:lvl>
    <w:lvl w:ilvl="2" w:tplc="080A001B" w:tentative="1">
      <w:start w:val="1"/>
      <w:numFmt w:val="lowerRoman"/>
      <w:lvlText w:val="%3."/>
      <w:lvlJc w:val="right"/>
      <w:pPr>
        <w:ind w:left="3011" w:hanging="180"/>
      </w:pPr>
    </w:lvl>
    <w:lvl w:ilvl="3" w:tplc="080A000F" w:tentative="1">
      <w:start w:val="1"/>
      <w:numFmt w:val="decimal"/>
      <w:lvlText w:val="%4."/>
      <w:lvlJc w:val="left"/>
      <w:pPr>
        <w:ind w:left="3731" w:hanging="360"/>
      </w:pPr>
    </w:lvl>
    <w:lvl w:ilvl="4" w:tplc="080A0019" w:tentative="1">
      <w:start w:val="1"/>
      <w:numFmt w:val="lowerLetter"/>
      <w:lvlText w:val="%5."/>
      <w:lvlJc w:val="left"/>
      <w:pPr>
        <w:ind w:left="4451" w:hanging="360"/>
      </w:pPr>
    </w:lvl>
    <w:lvl w:ilvl="5" w:tplc="080A001B" w:tentative="1">
      <w:start w:val="1"/>
      <w:numFmt w:val="lowerRoman"/>
      <w:lvlText w:val="%6."/>
      <w:lvlJc w:val="right"/>
      <w:pPr>
        <w:ind w:left="5171" w:hanging="180"/>
      </w:pPr>
    </w:lvl>
    <w:lvl w:ilvl="6" w:tplc="080A000F" w:tentative="1">
      <w:start w:val="1"/>
      <w:numFmt w:val="decimal"/>
      <w:lvlText w:val="%7."/>
      <w:lvlJc w:val="left"/>
      <w:pPr>
        <w:ind w:left="5891" w:hanging="360"/>
      </w:pPr>
    </w:lvl>
    <w:lvl w:ilvl="7" w:tplc="080A0019" w:tentative="1">
      <w:start w:val="1"/>
      <w:numFmt w:val="lowerLetter"/>
      <w:lvlText w:val="%8."/>
      <w:lvlJc w:val="left"/>
      <w:pPr>
        <w:ind w:left="6611" w:hanging="360"/>
      </w:pPr>
    </w:lvl>
    <w:lvl w:ilvl="8" w:tplc="0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28B2C07"/>
    <w:multiLevelType w:val="hybridMultilevel"/>
    <w:tmpl w:val="E4148072"/>
    <w:lvl w:ilvl="0" w:tplc="F70E6184">
      <w:start w:val="1"/>
      <w:numFmt w:val="upperRoman"/>
      <w:lvlText w:val="%1."/>
      <w:lvlJc w:val="right"/>
      <w:pPr>
        <w:ind w:left="1571" w:hanging="360"/>
      </w:pPr>
      <w:rPr>
        <w:b/>
        <w:color w:val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2291" w:hanging="360"/>
      </w:pPr>
    </w:lvl>
    <w:lvl w:ilvl="2" w:tplc="080A001B" w:tentative="1">
      <w:start w:val="1"/>
      <w:numFmt w:val="lowerRoman"/>
      <w:lvlText w:val="%3."/>
      <w:lvlJc w:val="right"/>
      <w:pPr>
        <w:ind w:left="3011" w:hanging="180"/>
      </w:pPr>
    </w:lvl>
    <w:lvl w:ilvl="3" w:tplc="080A000F" w:tentative="1">
      <w:start w:val="1"/>
      <w:numFmt w:val="decimal"/>
      <w:lvlText w:val="%4."/>
      <w:lvlJc w:val="left"/>
      <w:pPr>
        <w:ind w:left="3731" w:hanging="360"/>
      </w:pPr>
    </w:lvl>
    <w:lvl w:ilvl="4" w:tplc="080A0019" w:tentative="1">
      <w:start w:val="1"/>
      <w:numFmt w:val="lowerLetter"/>
      <w:lvlText w:val="%5."/>
      <w:lvlJc w:val="left"/>
      <w:pPr>
        <w:ind w:left="4451" w:hanging="360"/>
      </w:pPr>
    </w:lvl>
    <w:lvl w:ilvl="5" w:tplc="080A001B" w:tentative="1">
      <w:start w:val="1"/>
      <w:numFmt w:val="lowerRoman"/>
      <w:lvlText w:val="%6."/>
      <w:lvlJc w:val="right"/>
      <w:pPr>
        <w:ind w:left="5171" w:hanging="180"/>
      </w:pPr>
    </w:lvl>
    <w:lvl w:ilvl="6" w:tplc="080A000F" w:tentative="1">
      <w:start w:val="1"/>
      <w:numFmt w:val="decimal"/>
      <w:lvlText w:val="%7."/>
      <w:lvlJc w:val="left"/>
      <w:pPr>
        <w:ind w:left="5891" w:hanging="360"/>
      </w:pPr>
    </w:lvl>
    <w:lvl w:ilvl="7" w:tplc="080A0019" w:tentative="1">
      <w:start w:val="1"/>
      <w:numFmt w:val="lowerLetter"/>
      <w:lvlText w:val="%8."/>
      <w:lvlJc w:val="left"/>
      <w:pPr>
        <w:ind w:left="6611" w:hanging="360"/>
      </w:pPr>
    </w:lvl>
    <w:lvl w:ilvl="8" w:tplc="080A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00"/>
    <w:rsid w:val="00023C00"/>
    <w:rsid w:val="002C5442"/>
    <w:rsid w:val="004144AF"/>
    <w:rsid w:val="00B5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14D436-665F-44B3-98C6-8B9EE4E89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C00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p1,List Paragraph1,Listas,Bullet List,FooterText,numbered,Bulletr List Paragraph,列出段落,列出段落1,List Paragraph11,Paragraphe de liste1,Scitum normal,Contenido_1,Colorful List - Accent 11,Dot pt,No Spacing1,List Paragraph Char Char Char,3"/>
    <w:basedOn w:val="Normal"/>
    <w:link w:val="PrrafodelistaCar"/>
    <w:uiPriority w:val="34"/>
    <w:qFormat/>
    <w:rsid w:val="00023C00"/>
    <w:pPr>
      <w:ind w:left="720"/>
      <w:contextualSpacing/>
    </w:pPr>
  </w:style>
  <w:style w:type="character" w:customStyle="1" w:styleId="PrrafodelistaCar">
    <w:name w:val="Párrafo de lista Car"/>
    <w:aliases w:val="lp1 Car,List Paragraph1 Car,Listas Car,Bullet List Car,FooterText Car,numbered Car,Bulletr List Paragraph Car,列出段落 Car,列出段落1 Car,List Paragraph11 Car,Paragraphe de liste1 Car,Scitum normal Car,Contenido_1 Car,Dot pt Car,3 Car"/>
    <w:basedOn w:val="Fuentedeprrafopredeter"/>
    <w:link w:val="Prrafodelista"/>
    <w:uiPriority w:val="34"/>
    <w:qFormat/>
    <w:locked/>
    <w:rsid w:val="00023C0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Ibarra. SAJ</dc:creator>
  <cp:keywords/>
  <dc:description/>
  <cp:lastModifiedBy>Mayra Ibarra. SAJ</cp:lastModifiedBy>
  <cp:revision>2</cp:revision>
  <dcterms:created xsi:type="dcterms:W3CDTF">2025-02-11T20:12:00Z</dcterms:created>
  <dcterms:modified xsi:type="dcterms:W3CDTF">2025-02-12T20:08:00Z</dcterms:modified>
</cp:coreProperties>
</file>